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711" w:tblpY="1014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425"/>
        <w:gridCol w:w="1134"/>
        <w:gridCol w:w="7796"/>
        <w:gridCol w:w="428"/>
      </w:tblGrid>
      <w:tr w:rsidR="00627A2B" w:rsidRPr="00DA071F" w:rsidTr="003C6CB3">
        <w:trPr>
          <w:trHeight w:val="288"/>
        </w:trPr>
        <w:tc>
          <w:tcPr>
            <w:tcW w:w="10704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7A2B" w:rsidRPr="00DA071F" w:rsidRDefault="00627A2B" w:rsidP="003C6CB3">
            <w:pPr>
              <w:rPr>
                <w:sz w:val="20"/>
                <w:szCs w:val="20"/>
              </w:rPr>
            </w:pPr>
            <w:r w:rsidRPr="00DA071F">
              <w:rPr>
                <w:sz w:val="20"/>
                <w:szCs w:val="20"/>
              </w:rPr>
              <w:t xml:space="preserve">Hasta:                         </w:t>
            </w:r>
            <w:r w:rsidR="00D63A80">
              <w:rPr>
                <w:sz w:val="20"/>
                <w:szCs w:val="20"/>
              </w:rPr>
              <w:t xml:space="preserve">             </w:t>
            </w:r>
            <w:r w:rsidRPr="00DA071F">
              <w:rPr>
                <w:sz w:val="20"/>
                <w:szCs w:val="20"/>
              </w:rPr>
              <w:t xml:space="preserve">               </w:t>
            </w:r>
            <w:r w:rsidR="000A7DD7">
              <w:rPr>
                <w:sz w:val="20"/>
                <w:szCs w:val="20"/>
              </w:rPr>
              <w:t xml:space="preserve">                                     </w:t>
            </w:r>
            <w:r w:rsidRPr="00DA071F">
              <w:rPr>
                <w:sz w:val="20"/>
                <w:szCs w:val="20"/>
              </w:rPr>
              <w:t xml:space="preserve">    Tanı:                          </w:t>
            </w:r>
            <w:r w:rsidR="000A7DD7">
              <w:rPr>
                <w:sz w:val="20"/>
                <w:szCs w:val="20"/>
              </w:rPr>
              <w:t xml:space="preserve">                                 </w:t>
            </w:r>
            <w:r w:rsidRPr="00DA071F">
              <w:rPr>
                <w:sz w:val="20"/>
                <w:szCs w:val="20"/>
              </w:rPr>
              <w:t xml:space="preserve">    </w:t>
            </w:r>
            <w:r w:rsidR="000A7DD7" w:rsidRPr="00DA071F">
              <w:rPr>
                <w:sz w:val="20"/>
                <w:szCs w:val="20"/>
              </w:rPr>
              <w:t xml:space="preserve"> Kilo</w:t>
            </w:r>
            <w:r w:rsidR="000A7DD7">
              <w:rPr>
                <w:sz w:val="20"/>
                <w:szCs w:val="20"/>
              </w:rPr>
              <w:t xml:space="preserve"> (Kg)</w:t>
            </w:r>
            <w:r w:rsidR="000A7DD7" w:rsidRPr="00DA071F">
              <w:rPr>
                <w:sz w:val="20"/>
                <w:szCs w:val="20"/>
              </w:rPr>
              <w:t>:</w:t>
            </w:r>
          </w:p>
        </w:tc>
      </w:tr>
      <w:tr w:rsidR="00BA0C7D" w:rsidRPr="00DA071F" w:rsidTr="003C6CB3">
        <w:trPr>
          <w:cantSplit/>
          <w:trHeight w:val="955"/>
        </w:trPr>
        <w:tc>
          <w:tcPr>
            <w:tcW w:w="354" w:type="dxa"/>
            <w:tcBorders>
              <w:top w:val="threeDEngrave" w:sz="18" w:space="0" w:color="auto"/>
              <w:bottom w:val="nil"/>
            </w:tcBorders>
            <w:shd w:val="clear" w:color="auto" w:fill="A6A6A6" w:themeFill="background1" w:themeFillShade="A6"/>
            <w:textDirection w:val="btLr"/>
          </w:tcPr>
          <w:p w:rsidR="00BA0C7D" w:rsidRPr="00DA071F" w:rsidRDefault="00BA0C7D" w:rsidP="003C6CB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threeDEngrave" w:sz="18" w:space="0" w:color="auto"/>
              <w:bottom w:val="nil"/>
            </w:tcBorders>
            <w:shd w:val="clear" w:color="auto" w:fill="D9D9D9" w:themeFill="background1" w:themeFillShade="D9"/>
            <w:textDirection w:val="btLr"/>
          </w:tcPr>
          <w:p w:rsidR="00BA0C7D" w:rsidRPr="00DA071F" w:rsidRDefault="00BA0C7D" w:rsidP="003C6CB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4"/>
            <w:vMerge w:val="restart"/>
            <w:tcBorders>
              <w:top w:val="threeDEmboss" w:sz="18" w:space="0" w:color="auto"/>
            </w:tcBorders>
          </w:tcPr>
          <w:p w:rsidR="00BA0C7D" w:rsidRPr="00E03B38" w:rsidRDefault="00F503EA" w:rsidP="003C6CB3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97" type="#_x0000_t202" style="position:absolute;margin-left:284.85pt;margin-top:3.75pt;width:174pt;height:49.75pt;z-index:251987968;mso-position-horizontal-relative:text;mso-position-vertical-relative:text">
                  <v:stroke dashstyle="1 1"/>
                  <v:textbox style="mso-next-textbox:#_x0000_s1597">
                    <w:txbxContent>
                      <w:p w:rsidR="00F503EA" w:rsidRDefault="00F503EA">
                        <w:pPr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F503EA">
                          <w:rPr>
                            <w:sz w:val="20"/>
                            <w:szCs w:val="20"/>
                          </w:rPr>
                          <w:t xml:space="preserve">Grade I akut GVHD </w:t>
                        </w:r>
                        <w:r w:rsidRPr="00F503EA">
                          <w:rPr>
                            <w:rFonts w:cs="AdvMINION-B"/>
                            <w:sz w:val="20"/>
                            <w:szCs w:val="20"/>
                          </w:rPr>
                          <w:t>Metilprednisolon 1mg/kg/gün başlanarak cevaba göre doz  ayarlanır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.</w:t>
                        </w:r>
                        <w:r w:rsidRPr="00F503EA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53E3A" w:rsidRPr="00F503EA" w:rsidRDefault="00653E3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8" type="#_x0000_t32" style="position:absolute;margin-left:202.55pt;margin-top:17.4pt;width:.05pt;height:50.1pt;z-index:251961344;mso-position-horizontal-relative:text;mso-position-vertical-relative:text" o:connectortype="straight">
                  <v:stroke endarrow="block"/>
                </v:shape>
              </w:pict>
            </w: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 id="_x0000_s1557" type="#_x0000_t32" style="position:absolute;margin-left:185.1pt;margin-top:17.4pt;width:.05pt;height:50.1pt;z-index:251960320;mso-position-horizontal-relative:text;mso-position-vertical-relative:text" o:connectortype="straight">
                  <v:stroke endarrow="block"/>
                </v:shape>
              </w:pict>
            </w: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 id="_x0000_s1578" type="#_x0000_t202" style="position:absolute;margin-left:68.3pt;margin-top:24.3pt;width:192.4pt;height:20.75pt;z-index:251981824;mso-position-horizontal-relative:text;mso-position-vertical-relative:text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578">
                    <w:txbxContent>
                      <w:p w:rsidR="00BA0C7D" w:rsidRPr="00D36C18" w:rsidRDefault="00BA0C7D" w:rsidP="00D36C1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36C18">
                          <w:rPr>
                            <w:b/>
                            <w:sz w:val="20"/>
                          </w:rPr>
                          <w:t xml:space="preserve">Optimal serum </w:t>
                        </w:r>
                        <w:r>
                          <w:rPr>
                            <w:b/>
                            <w:sz w:val="20"/>
                          </w:rPr>
                          <w:t>siklosporin</w:t>
                        </w:r>
                        <w:r w:rsidRPr="00D36C18">
                          <w:rPr>
                            <w:b/>
                            <w:sz w:val="20"/>
                          </w:rPr>
                          <w:t xml:space="preserve"> düzeyine çıkılılr</w:t>
                        </w:r>
                      </w:p>
                    </w:txbxContent>
                  </v:textbox>
                </v:shape>
              </w:pict>
            </w: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 id="_x0000_s1556" type="#_x0000_t32" style="position:absolute;margin-left:164.4pt;margin-top:17.4pt;width:.1pt;height:50.1pt;flip:x;z-index:251959296;mso-position-horizontal-relative:text;mso-position-vertical-relative:text" o:connectortype="straight">
                  <v:stroke endarrow="block"/>
                </v:shape>
              </w:pict>
            </w:r>
            <w:r w:rsidR="00BA0C7D" w:rsidRPr="00E03B38">
              <w:rPr>
                <w:sz w:val="20"/>
                <w:szCs w:val="20"/>
              </w:rPr>
              <w:t xml:space="preserve">                                                     </w:t>
            </w:r>
            <w:r w:rsidR="00BA0C7D" w:rsidRPr="00E03B38">
              <w:rPr>
                <w:b/>
                <w:sz w:val="28"/>
                <w:szCs w:val="20"/>
              </w:rPr>
              <w:t xml:space="preserve">Grade </w:t>
            </w:r>
            <w:r w:rsidR="001E5FD3">
              <w:rPr>
                <w:b/>
                <w:sz w:val="28"/>
                <w:szCs w:val="20"/>
              </w:rPr>
              <w:t xml:space="preserve">II-IV </w:t>
            </w:r>
            <w:r w:rsidR="00BA0C7D" w:rsidRPr="00E03B38">
              <w:rPr>
                <w:b/>
                <w:sz w:val="28"/>
                <w:szCs w:val="20"/>
              </w:rPr>
              <w:t>akut GVH</w:t>
            </w:r>
            <w:r w:rsidR="00BA0C7D">
              <w:rPr>
                <w:b/>
                <w:sz w:val="28"/>
                <w:szCs w:val="20"/>
              </w:rPr>
              <w:t>D</w:t>
            </w:r>
          </w:p>
          <w:p w:rsidR="00BA0C7D" w:rsidRDefault="00BA0C7D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                 </w:t>
            </w:r>
          </w:p>
          <w:p w:rsidR="00BA0C7D" w:rsidRDefault="00162518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67" type="#_x0000_t32" style="position:absolute;margin-left:424.85pt;margin-top:11.65pt;width:.05pt;height:32.4pt;z-index:252010496" o:connectortype="straight" strokeweight=".25pt">
                  <v:stroke dashstyle="1 1" endarrow="block" endcap="round"/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  </w:t>
            </w:r>
          </w:p>
          <w:p w:rsidR="00BA0C7D" w:rsidRDefault="00BA0C7D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 </w:t>
            </w:r>
          </w:p>
          <w:p w:rsidR="00BA0C7D" w:rsidRPr="009F6499" w:rsidRDefault="00BA0C7D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4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</w:t>
            </w:r>
            <w:r w:rsidRPr="009F6499">
              <w:rPr>
                <w:rFonts w:cs="AdvMINION-B"/>
                <w:sz w:val="24"/>
                <w:szCs w:val="20"/>
              </w:rPr>
              <w:t>Metilprednisolon 2 mg/kg/gün ( ……..…</w:t>
            </w:r>
            <w:r>
              <w:rPr>
                <w:rFonts w:cs="AdvMINION-B"/>
                <w:sz w:val="24"/>
                <w:szCs w:val="20"/>
              </w:rPr>
              <w:t>….</w:t>
            </w:r>
            <w:r w:rsidR="00B051B9">
              <w:rPr>
                <w:rFonts w:cs="AdvMINION-B"/>
                <w:sz w:val="24"/>
                <w:szCs w:val="20"/>
              </w:rPr>
              <w:t xml:space="preserve">.mg/gün) IV başlanır.       </w:t>
            </w:r>
            <w:r w:rsidRPr="009F6499">
              <w:rPr>
                <w:rFonts w:cs="AdvMINION-B"/>
                <w:sz w:val="24"/>
                <w:szCs w:val="20"/>
              </w:rPr>
              <w:t>/</w:t>
            </w:r>
            <w:r w:rsidR="00B051B9">
              <w:rPr>
                <w:rFonts w:cs="AdvMINION-B"/>
                <w:sz w:val="24"/>
                <w:szCs w:val="20"/>
              </w:rPr>
              <w:t xml:space="preserve">      </w:t>
            </w:r>
            <w:r w:rsidRPr="009F6499">
              <w:rPr>
                <w:rFonts w:cs="AdvMINION-B"/>
                <w:sz w:val="24"/>
                <w:szCs w:val="20"/>
              </w:rPr>
              <w:t>/20</w:t>
            </w:r>
            <w:r w:rsidR="00B051B9">
              <w:rPr>
                <w:rFonts w:cs="AdvMINION-B"/>
                <w:sz w:val="24"/>
                <w:szCs w:val="20"/>
              </w:rPr>
              <w:t>1</w:t>
            </w:r>
          </w:p>
          <w:p w:rsidR="00BA0C7D" w:rsidRDefault="00162518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68" type="#_x0000_t202" style="position:absolute;margin-left:310.9pt;margin-top:5pt;width:168.8pt;height:29.05pt;z-index:252011520">
                  <v:textbox style="mso-next-textbox:#_x0000_s1668">
                    <w:txbxContent>
                      <w:p w:rsidR="00162518" w:rsidRPr="00162518" w:rsidRDefault="00162518" w:rsidP="00B051B9">
                        <w:pPr>
                          <w:tabs>
                            <w:tab w:val="left" w:pos="4861"/>
                          </w:tabs>
                          <w:spacing w:after="0"/>
                          <w:rPr>
                            <w:rFonts w:cs="AdvMINION-B"/>
                            <w:sz w:val="16"/>
                            <w:szCs w:val="20"/>
                          </w:rPr>
                        </w:pPr>
                        <w:r w:rsidRPr="00162518">
                          <w:rPr>
                            <w:rFonts w:cs="AdvMINION-B"/>
                            <w:sz w:val="16"/>
                            <w:szCs w:val="20"/>
                          </w:rPr>
                          <w:t xml:space="preserve">Metilprednisolon1 </w:t>
                        </w:r>
                        <w:r w:rsidRPr="00162518">
                          <w:rPr>
                            <w:rFonts w:cs="AdvMINION-B"/>
                            <w:sz w:val="16"/>
                            <w:szCs w:val="20"/>
                          </w:rPr>
                          <w:t xml:space="preserve">mg/kg/gün dozunda </w:t>
                        </w:r>
                      </w:p>
                      <w:p w:rsidR="00162518" w:rsidRPr="00162518" w:rsidRDefault="00162518" w:rsidP="00B051B9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16"/>
                            <w:szCs w:val="20"/>
                          </w:rPr>
                        </w:pPr>
                        <w:r w:rsidRPr="00162518">
                          <w:rPr>
                            <w:rFonts w:cs="AdvMINION-B"/>
                            <w:b/>
                            <w:sz w:val="16"/>
                            <w:szCs w:val="20"/>
                          </w:rPr>
                          <w:t>3 hafta</w:t>
                        </w:r>
                        <w:r w:rsidRPr="00162518">
                          <w:rPr>
                            <w:rFonts w:cs="AdvMINION-B"/>
                            <w:sz w:val="16"/>
                            <w:szCs w:val="20"/>
                          </w:rPr>
                          <w:t xml:space="preserve"> devam edilir.      </w:t>
                        </w:r>
                      </w:p>
                    </w:txbxContent>
                  </v:textbox>
                </v:shape>
              </w:pict>
            </w:r>
            <w:r w:rsidR="00E96B8D"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59" type="#_x0000_t32" style="position:absolute;margin-left:190.35pt;margin-top:.4pt;width:.6pt;height:33.65pt;z-index:251962368" o:connectortype="straight" strokeweight="2.25pt">
                  <v:stroke endarrow="block"/>
                </v:shape>
              </w:pict>
            </w:r>
          </w:p>
          <w:p w:rsidR="00BA0C7D" w:rsidRDefault="00BA0C7D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</w:p>
          <w:p w:rsidR="00BA0C7D" w:rsidRDefault="00162518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69" type="#_x0000_t32" style="position:absolute;margin-left:448.55pt;margin-top:11.15pt;width:2.9pt;height:168.4pt;z-index:252012544" o:connectortype="straight" strokeweight=".25pt">
                  <v:stroke dashstyle="1 1" endarrow="block" endcap="round"/>
                </v:shape>
              </w:pict>
            </w:r>
          </w:p>
          <w:p w:rsidR="00BA0C7D" w:rsidRPr="00DA071F" w:rsidRDefault="00BA0C7D" w:rsidP="003C6CB3">
            <w:pPr>
              <w:autoSpaceDE w:val="0"/>
              <w:autoSpaceDN w:val="0"/>
              <w:adjustRightInd w:val="0"/>
              <w:spacing w:after="0" w:line="240" w:lineRule="auto"/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                              Tedavinin 3-5. gününde cevap değelendirilir……/……/20….</w:t>
            </w:r>
          </w:p>
          <w:p w:rsidR="00BA0C7D" w:rsidRDefault="00E96B8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 w:rsidRPr="00E96B8D">
              <w:rPr>
                <w:rFonts w:ascii="Arial Rounded MT Bold" w:hAnsi="Arial Rounded MT Bold" w:cs="AdvMINION-B"/>
                <w:noProof/>
                <w:sz w:val="20"/>
                <w:szCs w:val="20"/>
                <w:lang w:eastAsia="tr-TR"/>
              </w:rPr>
              <w:pict>
                <v:shape id="_x0000_s1562" type="#_x0000_t202" style="position:absolute;margin-left:229.45pt;margin-top:12.45pt;width:77.35pt;height:20.15pt;z-index:251965440" fillcolor="#c2d69b [1942]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mso-next-textbox:#_x0000_s1562">
                    <w:txbxContent>
                      <w:p w:rsidR="00BA0C7D" w:rsidRPr="001448A9" w:rsidRDefault="00BA0C7D" w:rsidP="00D36C18">
                        <w:pPr>
                          <w:jc w:val="center"/>
                          <w:rPr>
                            <w:b/>
                            <w:szCs w:val="20"/>
                          </w:rPr>
                        </w:pPr>
                        <w:r w:rsidRPr="001448A9">
                          <w:rPr>
                            <w:b/>
                            <w:szCs w:val="20"/>
                          </w:rPr>
                          <w:t xml:space="preserve">CEVAP  </w:t>
                        </w:r>
                        <w:r w:rsidRPr="001448A9">
                          <w:rPr>
                            <w:b/>
                            <w:szCs w:val="20"/>
                          </w:rPr>
                          <w:t>VAR</w:t>
                        </w:r>
                      </w:p>
                    </w:txbxContent>
                  </v:textbox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0" type="#_x0000_t32" style="position:absolute;margin-left:74.55pt;margin-top:2.6pt;width:110.6pt;height:91.85pt;flip:x;z-index:251963392" o:connectortype="straight">
                  <v:stroke endarrow="block"/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1" type="#_x0000_t32" style="position:absolute;margin-left:214pt;margin-top:2.6pt;width:117.5pt;height:45.2pt;z-index:251964416" o:connectortype="straight" strokeweight="2.25pt">
                  <v:stroke endarrow="block"/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3" type="#_x0000_t202" style="position:absolute;margin-left:40pt;margin-top:12.45pt;width:150.35pt;height:20.15pt;z-index:251966464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1563">
                    <w:txbxContent>
                      <w:p w:rsidR="00BA0C7D" w:rsidRPr="002D34E5" w:rsidRDefault="00BA0C7D" w:rsidP="00D36C1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D34E5">
                          <w:rPr>
                            <w:b/>
                            <w:sz w:val="20"/>
                            <w:szCs w:val="20"/>
                          </w:rPr>
                          <w:t xml:space="preserve">CEVAP </w:t>
                        </w:r>
                        <w:r w:rsidRPr="002D34E5">
                          <w:rPr>
                            <w:b/>
                            <w:sz w:val="20"/>
                            <w:szCs w:val="20"/>
                          </w:rPr>
                          <w:t>YOK VEYA PROGRESYON</w:t>
                        </w:r>
                      </w:p>
                      <w:p w:rsidR="00BA0C7D" w:rsidRPr="000D6376" w:rsidRDefault="00BA0C7D">
                        <w:pPr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ab/>
            </w:r>
          </w:p>
          <w:p w:rsidR="00BA0C7D" w:rsidRDefault="00BA0C7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BA0C7D" w:rsidRDefault="00E96B8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5" type="#_x0000_t202" style="position:absolute;margin-left:260.7pt;margin-top:4.2pt;width:177.4pt;height:35.2pt;z-index:251968512">
                  <v:textbox style="mso-next-textbox:#_x0000_s1565">
                    <w:txbxContent>
                      <w:p w:rsidR="00B051B9" w:rsidRDefault="00B051B9" w:rsidP="00B051B9">
                        <w:pPr>
                          <w:tabs>
                            <w:tab w:val="left" w:pos="4861"/>
                          </w:tabs>
                          <w:spacing w:after="0"/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DA071F">
                          <w:rPr>
                            <w:rFonts w:cs="AdvMINION-B"/>
                            <w:sz w:val="20"/>
                            <w:szCs w:val="20"/>
                          </w:rPr>
                          <w:t>Metilprednisolon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2 mg/kg/gün dozunda </w:t>
                        </w:r>
                      </w:p>
                      <w:p w:rsidR="00BA0C7D" w:rsidRPr="00B051B9" w:rsidRDefault="00B051B9" w:rsidP="00B051B9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5004F6">
                          <w:rPr>
                            <w:rFonts w:cs="AdvMINION-B"/>
                            <w:b/>
                            <w:sz w:val="20"/>
                            <w:szCs w:val="20"/>
                          </w:rPr>
                          <w:t>2 hafta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  <w:r w:rsidR="00BA0C7D">
                          <w:rPr>
                            <w:rFonts w:cs="AdvMINION-B"/>
                            <w:sz w:val="20"/>
                            <w:szCs w:val="20"/>
                          </w:rPr>
                          <w:t>devam edilir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.</w:t>
                        </w:r>
                        <w:r w:rsidR="00BA0C7D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xbxContent>
                  </v:textbox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6" type="#_x0000_t202" style="position:absolute;margin-left:16.95pt;margin-top:4.35pt;width:220.7pt;height:21.3pt;z-index:251969536">
                  <v:textbox style="mso-next-textbox:#_x0000_s1566">
                    <w:txbxContent>
                      <w:p w:rsidR="00BA0C7D" w:rsidRDefault="00BA0C7D" w:rsidP="000D6376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DA071F">
                          <w:rPr>
                            <w:rFonts w:cs="AdvMINION-B"/>
                            <w:sz w:val="20"/>
                            <w:szCs w:val="20"/>
                          </w:rPr>
                          <w:t>Metilprednisolon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5-10 mg/kg/gün</w:t>
                        </w:r>
                        <w:r w:rsidR="00B051B9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dozuna artırılır.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                     </w:t>
                        </w:r>
                      </w:p>
                      <w:p w:rsidR="00BA0C7D" w:rsidRDefault="00BA0C7D"/>
                    </w:txbxContent>
                  </v:textbox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         </w:t>
            </w:r>
          </w:p>
          <w:p w:rsidR="00BA0C7D" w:rsidRDefault="00E96B8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71" type="#_x0000_t32" style="position:absolute;margin-left:214pt;margin-top:15.5pt;width:82.85pt;height:76.55pt;flip:y;z-index:251974656" o:connectortype="straight" strokeweight="2.25pt">
                  <v:stroke dashstyle="1 1" endarrow="block"/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4" type="#_x0000_t32" style="position:absolute;margin-left:401.8pt;margin-top:15.45pt;width:.05pt;height:67.6pt;z-index:251967488" o:connectortype="straight" strokeweight="2.25pt">
                  <v:stroke endarrow="block"/>
                </v:shape>
              </w:pict>
            </w:r>
          </w:p>
          <w:p w:rsidR="00BA0C7D" w:rsidRDefault="00E96B8D" w:rsidP="003C6CB3">
            <w:pPr>
              <w:tabs>
                <w:tab w:val="left" w:pos="4861"/>
              </w:tabs>
              <w:spacing w:after="0"/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74" type="#_x0000_t202" style="position:absolute;margin-left:185.15pt;margin-top:9.15pt;width:206.4pt;height:21.3pt;z-index:251977728">
                  <v:textbox style="mso-next-textbox:#_x0000_s1574">
                    <w:txbxContent>
                      <w:p w:rsidR="00BA0C7D" w:rsidRDefault="00BA0C7D" w:rsidP="000D6376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DA071F">
                          <w:rPr>
                            <w:rFonts w:cs="AdvMINION-B"/>
                            <w:sz w:val="20"/>
                            <w:szCs w:val="20"/>
                          </w:rPr>
                          <w:t>Metilprednisolon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2 mg/kg/gün </w:t>
                        </w:r>
                        <w:r w:rsidR="00B051B9">
                          <w:rPr>
                            <w:rFonts w:cs="AdvMINION-B"/>
                            <w:sz w:val="20"/>
                            <w:szCs w:val="20"/>
                          </w:rPr>
                          <w:t>dozuna azaltılır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                        </w:t>
                        </w:r>
                      </w:p>
                      <w:p w:rsidR="00BA0C7D" w:rsidRDefault="00BA0C7D"/>
                    </w:txbxContent>
                  </v:textbox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 Tedavinin 3-5. gününde cevap </w:t>
            </w:r>
          </w:p>
          <w:p w:rsidR="00BA0C7D" w:rsidRDefault="00E96B8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7" type="#_x0000_t32" style="position:absolute;margin-left:45.85pt;margin-top:13.55pt;width:0;height:102.95pt;z-index:251970560" o:connectortype="straight" strokeweight="1pt">
                  <v:stroke endarrow="block"/>
                </v:shape>
              </w:pict>
            </w: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8" type="#_x0000_t32" style="position:absolute;margin-left:74.55pt;margin-top:13.6pt;width:101pt;height:40.4pt;z-index:251971584" o:connectortype="straight" strokeweight="2.25pt">
                  <v:stroke endarrow="block"/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 değelendirilir…..…/…..…/20….                                              </w:t>
            </w:r>
          </w:p>
          <w:p w:rsidR="00BA0C7D" w:rsidRDefault="00E96B8D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69" type="#_x0000_t202" style="position:absolute;margin-left:31.4pt;margin-top:15.6pt;width:68pt;height:23.4pt;z-index:251972608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mso-next-textbox:#_x0000_s1569">
                    <w:txbxContent>
                      <w:p w:rsidR="00BA0C7D" w:rsidRPr="001448A9" w:rsidRDefault="00BA0C7D" w:rsidP="00D36C18">
                        <w:pPr>
                          <w:rPr>
                            <w:b/>
                            <w:szCs w:val="20"/>
                          </w:rPr>
                        </w:pPr>
                        <w:r w:rsidRPr="001448A9">
                          <w:rPr>
                            <w:b/>
                            <w:szCs w:val="20"/>
                          </w:rPr>
                          <w:t>CEVAP YOK</w:t>
                        </w:r>
                      </w:p>
                    </w:txbxContent>
                  </v:textbox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BA0C7D" w:rsidRDefault="00DA1284" w:rsidP="003C6CB3">
            <w:pPr>
              <w:tabs>
                <w:tab w:val="left" w:pos="4861"/>
              </w:tabs>
              <w:rPr>
                <w:rFonts w:cs="AdvMINION-B"/>
                <w:sz w:val="20"/>
                <w:szCs w:val="20"/>
              </w:rPr>
            </w:pP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 id="_x0000_s1588" type="#_x0000_t32" style="position:absolute;margin-left:74.55pt;margin-top:14.5pt;width:0;height:53.95pt;z-index:251984896" o:connectortype="straight" strokeweight="1pt">
                  <v:stroke endarrow="block"/>
                </v:shape>
              </w:pict>
            </w:r>
            <w:r w:rsidRPr="00E96B8D">
              <w:rPr>
                <w:noProof/>
                <w:sz w:val="20"/>
                <w:szCs w:val="20"/>
                <w:lang w:eastAsia="tr-TR"/>
              </w:rPr>
              <w:pict>
                <v:shape id="_x0000_s1587" type="#_x0000_t32" style="position:absolute;margin-left:60.3pt;margin-top:14.95pt;width:.05pt;height:53.5pt;z-index:251983872" o:connectortype="straight" strokeweight="1pt">
                  <v:stroke endarrow="block"/>
                </v:shape>
              </w:pict>
            </w:r>
            <w:r w:rsidR="00E96B8D"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70" type="#_x0000_t202" style="position:absolute;margin-left:164.4pt;margin-top:9pt;width:78.9pt;height:25pt;z-index:251973632" fillcolor="#c2d69b [1942]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mso-next-textbox:#_x0000_s1570">
                    <w:txbxContent>
                      <w:p w:rsidR="00BA0C7D" w:rsidRPr="001448A9" w:rsidRDefault="00BA0C7D" w:rsidP="0065759E">
                        <w:pPr>
                          <w:jc w:val="center"/>
                          <w:rPr>
                            <w:b/>
                            <w:szCs w:val="20"/>
                          </w:rPr>
                        </w:pPr>
                        <w:r w:rsidRPr="001448A9">
                          <w:rPr>
                            <w:b/>
                            <w:szCs w:val="20"/>
                          </w:rPr>
                          <w:t xml:space="preserve">CEVAP </w:t>
                        </w:r>
                        <w:r w:rsidRPr="001448A9">
                          <w:rPr>
                            <w:b/>
                            <w:szCs w:val="20"/>
                          </w:rPr>
                          <w:t>VAR</w:t>
                        </w:r>
                      </w:p>
                    </w:txbxContent>
                  </v:textbox>
                </v:shape>
              </w:pict>
            </w:r>
            <w:r w:rsidR="00E96B8D">
              <w:rPr>
                <w:rFonts w:cs="AdvMINION-B"/>
                <w:noProof/>
                <w:sz w:val="20"/>
                <w:szCs w:val="20"/>
                <w:lang w:eastAsia="tr-TR"/>
              </w:rPr>
              <w:pict>
                <v:shape id="_x0000_s1575" type="#_x0000_t202" style="position:absolute;margin-left:281.95pt;margin-top:-.35pt;width:174pt;height:34.35pt;z-index:251978752">
                  <v:textbox style="mso-next-textbox:#_x0000_s1575">
                    <w:txbxContent>
                      <w:p w:rsidR="00BA0C7D" w:rsidRDefault="00B051B9">
                        <w:pPr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DA071F">
                          <w:rPr>
                            <w:rFonts w:cs="AdvMINION-B"/>
                            <w:sz w:val="20"/>
                            <w:szCs w:val="20"/>
                          </w:rPr>
                          <w:t>Metilprednisolon</w:t>
                        </w:r>
                        <w:r w:rsidRPr="00BF0152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  <w:r w:rsidR="00BA0C7D" w:rsidRPr="005004F6">
                          <w:rPr>
                            <w:rFonts w:cs="AdvMINION-B"/>
                            <w:b/>
                            <w:sz w:val="20"/>
                            <w:szCs w:val="20"/>
                          </w:rPr>
                          <w:t>8 haftada</w:t>
                        </w:r>
                        <w:r w:rsidR="00BA0C7D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azaltılarak sonlandırılır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.</w:t>
                        </w:r>
                        <w:r w:rsidR="00BA0C7D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    /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   </w:t>
                        </w:r>
                        <w:r w:rsidR="00BA0C7D">
                          <w:rPr>
                            <w:rFonts w:cs="AdvMINION-B"/>
                            <w:sz w:val="20"/>
                            <w:szCs w:val="20"/>
                          </w:rPr>
                          <w:t>/20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1</w:t>
                        </w:r>
                      </w:p>
                      <w:p w:rsidR="00BA0C7D" w:rsidRDefault="00BA0C7D"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sonlandırılır..……/……/20</w:t>
                        </w:r>
                      </w:p>
                    </w:txbxContent>
                  </v:textbox>
                </v:shape>
              </w:pict>
            </w:r>
            <w:r w:rsidR="00BA0C7D">
              <w:rPr>
                <w:rFonts w:cs="AdvMINION-B"/>
                <w:sz w:val="20"/>
                <w:szCs w:val="20"/>
              </w:rPr>
              <w:t xml:space="preserve"> </w:t>
            </w:r>
          </w:p>
          <w:p w:rsidR="00BA0C7D" w:rsidRPr="005513D6" w:rsidRDefault="00BA0C7D" w:rsidP="003C6CB3">
            <w:pPr>
              <w:rPr>
                <w:b/>
                <w:sz w:val="20"/>
                <w:szCs w:val="20"/>
              </w:rPr>
            </w:pPr>
            <w:r>
              <w:rPr>
                <w:rFonts w:cs="AdvMINION-B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6A334A" w:rsidRPr="00DA071F" w:rsidTr="003C6CB3">
        <w:trPr>
          <w:trHeight w:val="5820"/>
        </w:trPr>
        <w:tc>
          <w:tcPr>
            <w:tcW w:w="354" w:type="dxa"/>
            <w:tcBorders>
              <w:top w:val="nil"/>
            </w:tcBorders>
            <w:shd w:val="clear" w:color="auto" w:fill="A6A6A6" w:themeFill="background1" w:themeFillShade="A6"/>
            <w:textDirection w:val="btLr"/>
          </w:tcPr>
          <w:p w:rsidR="005838C7" w:rsidRPr="002232C9" w:rsidRDefault="00565C89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dvPSFT-B"/>
                <w:b/>
                <w:szCs w:val="20"/>
              </w:rPr>
            </w:pPr>
            <w:r w:rsidRPr="002232C9">
              <w:rPr>
                <w:rFonts w:cs="AdvPSFT-B"/>
                <w:b/>
                <w:szCs w:val="20"/>
              </w:rPr>
              <w:t>1.</w:t>
            </w:r>
            <w:r w:rsidR="005838C7" w:rsidRPr="002232C9">
              <w:rPr>
                <w:rFonts w:cs="AdvPSFT-B"/>
                <w:b/>
                <w:szCs w:val="20"/>
              </w:rPr>
              <w:t xml:space="preserve"> Basamak</w:t>
            </w:r>
          </w:p>
          <w:p w:rsidR="006A334A" w:rsidRPr="00DA071F" w:rsidRDefault="006A334A" w:rsidP="003C6CB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6A334A" w:rsidRPr="00730874" w:rsidRDefault="006A334A" w:rsidP="003C6CB3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cs="AdvMINION-B"/>
                <w:b/>
                <w:sz w:val="24"/>
                <w:szCs w:val="20"/>
              </w:rPr>
            </w:pPr>
            <w:r w:rsidRPr="00730874">
              <w:rPr>
                <w:rFonts w:cs="AdvMINION-B"/>
                <w:b/>
                <w:sz w:val="24"/>
                <w:szCs w:val="20"/>
              </w:rPr>
              <w:t>Metil prednisolon</w:t>
            </w:r>
          </w:p>
          <w:p w:rsidR="006A334A" w:rsidRPr="00DA071F" w:rsidRDefault="006A334A" w:rsidP="003C6CB3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4"/>
            <w:vMerge/>
          </w:tcPr>
          <w:p w:rsidR="006A334A" w:rsidRPr="00DA071F" w:rsidRDefault="006A334A" w:rsidP="003C6CB3">
            <w:pPr>
              <w:rPr>
                <w:sz w:val="20"/>
                <w:szCs w:val="20"/>
              </w:rPr>
            </w:pPr>
          </w:p>
        </w:tc>
      </w:tr>
      <w:tr w:rsidR="006A334A" w:rsidRPr="00DA071F" w:rsidTr="003C6CB3">
        <w:trPr>
          <w:trHeight w:val="2019"/>
        </w:trPr>
        <w:tc>
          <w:tcPr>
            <w:tcW w:w="354" w:type="dxa"/>
            <w:tcBorders>
              <w:top w:val="threeDEmboss" w:sz="6" w:space="0" w:color="auto"/>
            </w:tcBorders>
            <w:shd w:val="clear" w:color="auto" w:fill="A6A6A6" w:themeFill="background1" w:themeFillShade="A6"/>
            <w:textDirection w:val="btLr"/>
          </w:tcPr>
          <w:p w:rsidR="005838C7" w:rsidRPr="002232C9" w:rsidRDefault="00565C89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dvPSFT-B"/>
                <w:b/>
                <w:szCs w:val="20"/>
              </w:rPr>
            </w:pPr>
            <w:r w:rsidRPr="002232C9">
              <w:rPr>
                <w:rFonts w:cs="AdvPSFT-B"/>
                <w:b/>
                <w:szCs w:val="20"/>
              </w:rPr>
              <w:t>2.Basamak</w:t>
            </w:r>
          </w:p>
          <w:p w:rsidR="006A334A" w:rsidRPr="00DA071F" w:rsidRDefault="006A334A" w:rsidP="003C6CB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auto"/>
            </w:tcBorders>
            <w:shd w:val="clear" w:color="auto" w:fill="D9D9D9" w:themeFill="background1" w:themeFillShade="D9"/>
            <w:textDirection w:val="btLr"/>
          </w:tcPr>
          <w:p w:rsidR="006A334A" w:rsidRPr="005838C7" w:rsidRDefault="006A334A" w:rsidP="003C6CB3">
            <w:pPr>
              <w:spacing w:after="0" w:line="240" w:lineRule="auto"/>
              <w:ind w:left="400" w:right="113"/>
              <w:jc w:val="center"/>
              <w:rPr>
                <w:rFonts w:cs="AdvMINION-I"/>
                <w:b/>
                <w:sz w:val="20"/>
              </w:rPr>
            </w:pPr>
            <w:r w:rsidRPr="005838C7">
              <w:rPr>
                <w:rFonts w:cs="AdvMINION-I"/>
                <w:b/>
                <w:sz w:val="20"/>
              </w:rPr>
              <w:t xml:space="preserve">Mycophenolate </w:t>
            </w:r>
          </w:p>
          <w:p w:rsidR="006A334A" w:rsidRPr="00BA0C7D" w:rsidRDefault="006A334A" w:rsidP="003C6CB3">
            <w:pPr>
              <w:spacing w:after="0" w:line="240" w:lineRule="auto"/>
              <w:ind w:right="113"/>
              <w:jc w:val="center"/>
              <w:rPr>
                <w:rFonts w:cs="AdvMINION-B"/>
                <w:b/>
              </w:rPr>
            </w:pPr>
            <w:r w:rsidRPr="005838C7">
              <w:rPr>
                <w:rFonts w:cs="AdvMINION-I"/>
                <w:b/>
                <w:sz w:val="20"/>
              </w:rPr>
              <w:t xml:space="preserve">    mofetil</w:t>
            </w:r>
          </w:p>
        </w:tc>
        <w:tc>
          <w:tcPr>
            <w:tcW w:w="9783" w:type="dxa"/>
            <w:gridSpan w:val="4"/>
            <w:tcBorders>
              <w:top w:val="threeDEmboss" w:sz="6" w:space="0" w:color="auto"/>
            </w:tcBorders>
          </w:tcPr>
          <w:p w:rsidR="006A334A" w:rsidRDefault="006A334A" w:rsidP="003C6C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11" type="#_x0000_t202" style="position:absolute;margin-left:315.5pt;margin-top:9.55pt;width:119.4pt;height:23.65pt;z-index:252001280;mso-position-horizontal-relative:text;mso-position-vertical-relative:text">
                  <v:textbox style="mso-next-textbox:#_x0000_s1611">
                    <w:txbxContent>
                      <w:p w:rsidR="006A334A" w:rsidRDefault="006A334A" w:rsidP="00B82E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AdvMINION-I"/>
                            <w:sz w:val="20"/>
                            <w:szCs w:val="20"/>
                          </w:rPr>
                        </w:pPr>
                        <w:r>
                          <w:rPr>
                            <w:rFonts w:cs="AdvMINION-I"/>
                            <w:sz w:val="20"/>
                            <w:szCs w:val="20"/>
                          </w:rPr>
                          <w:t>Ekstrakorporal fotoferez</w:t>
                        </w:r>
                      </w:p>
                      <w:p w:rsidR="006A334A" w:rsidRPr="00DA1284" w:rsidRDefault="006A334A" w:rsidP="00B82E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AdvMINION-I"/>
                            <w:sz w:val="20"/>
                            <w:szCs w:val="20"/>
                          </w:rPr>
                        </w:pPr>
                      </w:p>
                      <w:p w:rsidR="006A334A" w:rsidRDefault="006A334A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shape id="_x0000_s1614" type="#_x0000_t202" style="position:absolute;margin-left:284.85pt;margin-top:16.35pt;width:21.95pt;height:27.65pt;z-index:252004352;mso-position-horizontal-relative:text;mso-position-vertical-relative:text" stroked="f">
                  <v:textbox style="mso-next-textbox:#_x0000_s1614">
                    <w:txbxContent>
                      <w:p w:rsidR="006A334A" w:rsidRPr="00AC7A7A" w:rsidRDefault="006A334A">
                        <w:pPr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±</w:t>
                        </w:r>
                      </w:p>
                      <w:p w:rsidR="006A334A" w:rsidRDefault="006A334A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shape id="_x0000_s1608" type="#_x0000_t202" style="position:absolute;margin-left:1.5pt;margin-top:13.45pt;width:277.05pt;height:33.45pt;z-index:251998208;mso-position-horizontal-relative:text;mso-position-vertical-relative:text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608">
                    <w:txbxContent>
                      <w:p w:rsidR="006A334A" w:rsidRDefault="006A334A" w:rsidP="00DA1284">
                        <w:pPr>
                          <w:tabs>
                            <w:tab w:val="left" w:pos="4861"/>
                          </w:tabs>
                          <w:spacing w:after="0"/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057002">
                          <w:rPr>
                            <w:rFonts w:cs="AdvMINION-B"/>
                            <w:sz w:val="20"/>
                            <w:szCs w:val="20"/>
                          </w:rPr>
                          <w:t xml:space="preserve">Metilprednisolon </w:t>
                        </w:r>
                        <w:r w:rsidRPr="00057002">
                          <w:rPr>
                            <w:rFonts w:cs="AdvMINION-B"/>
                            <w:sz w:val="20"/>
                            <w:szCs w:val="20"/>
                          </w:rPr>
                          <w:t>2 mg/kg/gün dozuna azaltılır ve</w:t>
                        </w:r>
                      </w:p>
                      <w:p w:rsidR="006A334A" w:rsidRPr="001448A9" w:rsidRDefault="006A334A" w:rsidP="000D6376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057002"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  <w:r w:rsidRPr="00057002">
                          <w:rPr>
                            <w:rFonts w:cs="AdvMINION-I"/>
                            <w:b/>
                            <w:sz w:val="20"/>
                            <w:szCs w:val="20"/>
                          </w:rPr>
                          <w:t xml:space="preserve">Mycophenolate mofetil 2 X1 gram (PO) eklenir.     </w:t>
                        </w:r>
                        <w:r w:rsidRPr="00057002">
                          <w:rPr>
                            <w:rFonts w:cs="AdvMINION-I"/>
                            <w:sz w:val="20"/>
                            <w:szCs w:val="20"/>
                          </w:rPr>
                          <w:t>/</w:t>
                        </w:r>
                        <w:r w:rsidRPr="001448A9">
                          <w:rPr>
                            <w:rFonts w:cs="AdvMINION-I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dvMINION-I"/>
                            <w:szCs w:val="20"/>
                          </w:rPr>
                          <w:t xml:space="preserve">   </w:t>
                        </w:r>
                        <w:r w:rsidRPr="001448A9">
                          <w:rPr>
                            <w:rFonts w:cs="AdvMINION-I"/>
                            <w:szCs w:val="20"/>
                          </w:rPr>
                          <w:t xml:space="preserve">  /</w:t>
                        </w:r>
                      </w:p>
                      <w:p w:rsidR="006A334A" w:rsidRDefault="006A334A"/>
                    </w:txbxContent>
                  </v:textbox>
                </v:shape>
              </w:pict>
            </w:r>
          </w:p>
          <w:p w:rsidR="006A334A" w:rsidRPr="00DA071F" w:rsidRDefault="00884798" w:rsidP="003C6CB3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18" type="#_x0000_t32" style="position:absolute;margin-left:132.85pt;margin-top:66.15pt;width:0;height:21.65pt;z-index:252008448" o:connectortype="straight" strokeweight="1pt">
                  <v:stroke dashstyle="1 1" endarrow="block" endcap="round"/>
                </v:shape>
              </w:pict>
            </w:r>
            <w:r w:rsidR="00FC1A7D">
              <w:rPr>
                <w:noProof/>
                <w:sz w:val="20"/>
                <w:szCs w:val="20"/>
                <w:lang w:eastAsia="tr-TR"/>
              </w:rPr>
              <w:pict>
                <v:shape id="_x0000_s1615" type="#_x0000_t32" style="position:absolute;margin-left:196.75pt;margin-top:66.15pt;width:.05pt;height:21.65pt;z-index:252005376" o:connectortype="straight" strokeweight="1pt">
                  <v:stroke dashstyle="1 1" endarrow="block" endcap="round"/>
                </v:shape>
              </w:pict>
            </w:r>
            <w:r w:rsidR="00FC1A7D">
              <w:rPr>
                <w:noProof/>
                <w:sz w:val="20"/>
                <w:szCs w:val="20"/>
                <w:lang w:eastAsia="tr-TR"/>
              </w:rPr>
              <w:pict>
                <v:shape id="_x0000_s1616" type="#_x0000_t32" style="position:absolute;margin-left:167.4pt;margin-top:66.15pt;width:0;height:21.65pt;z-index:252006400" o:connectortype="straight" strokeweight="1pt">
                  <v:stroke dashstyle="1 1" endarrow="block" endcap="round"/>
                </v:shape>
              </w:pict>
            </w:r>
            <w:r w:rsidR="00FC1A7D">
              <w:rPr>
                <w:noProof/>
                <w:sz w:val="20"/>
                <w:szCs w:val="20"/>
                <w:lang w:eastAsia="tr-TR"/>
              </w:rPr>
              <w:pict>
                <v:shape id="_x0000_s1617" type="#_x0000_t32" style="position:absolute;margin-left:99.4pt;margin-top:66.15pt;width:0;height:21.65pt;z-index:252007424" o:connectortype="straight" strokeweight="1pt">
                  <v:stroke dashstyle="1 1" endarrow="block" endcap="round"/>
                </v:shape>
              </w:pict>
            </w:r>
            <w:r w:rsidR="00FC1A7D">
              <w:rPr>
                <w:noProof/>
                <w:sz w:val="20"/>
                <w:szCs w:val="20"/>
                <w:lang w:eastAsia="tr-TR"/>
              </w:rPr>
              <w:pict>
                <v:shape id="_x0000_s1609" type="#_x0000_t32" style="position:absolute;margin-left:64.9pt;margin-top:29.3pt;width:0;height:58.5pt;z-index:251999232" o:connectortype="straight" strokeweight="1pt">
                  <v:stroke dashstyle="1 1" endarrow="block" endcap="round"/>
                </v:shape>
              </w:pict>
            </w:r>
            <w:r w:rsidR="006A334A">
              <w:rPr>
                <w:noProof/>
                <w:sz w:val="20"/>
                <w:szCs w:val="20"/>
                <w:lang w:eastAsia="tr-TR"/>
              </w:rPr>
              <w:pict>
                <v:shape id="_x0000_s1619" type="#_x0000_t202" style="position:absolute;margin-left:315.5pt;margin-top:15.95pt;width:119.4pt;height:23.65pt;z-index:252009472">
                  <v:textbox style="mso-next-textbox:#_x0000_s1619">
                    <w:txbxContent>
                      <w:p w:rsidR="006A334A" w:rsidRDefault="006A334A" w:rsidP="006A334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dvMINION-I" w:hAnsi="AdvMINION-I" w:cs="AdvMINION-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dvMINION-I" w:hAnsi="AdvMINION-I" w:cs="AdvMINION-I"/>
                            <w:sz w:val="20"/>
                            <w:szCs w:val="20"/>
                          </w:rPr>
                          <w:t>Anti</w:t>
                        </w:r>
                        <w:r w:rsidR="00565C89">
                          <w:rPr>
                            <w:rFonts w:ascii="AdvMINION-I" w:hAnsi="AdvMINION-I" w:cs="AdvMINION-I"/>
                            <w:sz w:val="20"/>
                            <w:szCs w:val="20"/>
                          </w:rPr>
                          <w:t>timosit</w:t>
                        </w:r>
                        <w:r>
                          <w:rPr>
                            <w:rFonts w:ascii="AdvMINION-I" w:hAnsi="AdvMINION-I" w:cs="AdvMINION-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dvMINION-I" w:hAnsi="AdvMINION-I" w:cs="AdvMINION-I"/>
                            <w:sz w:val="20"/>
                            <w:szCs w:val="20"/>
                          </w:rPr>
                          <w:t>globulin</w:t>
                        </w:r>
                      </w:p>
                      <w:p w:rsidR="006A334A" w:rsidRPr="00DA1284" w:rsidRDefault="006A334A" w:rsidP="00B82E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AdvMINION-I"/>
                            <w:sz w:val="20"/>
                            <w:szCs w:val="20"/>
                          </w:rPr>
                        </w:pPr>
                      </w:p>
                      <w:p w:rsidR="006A334A" w:rsidRDefault="006A334A"/>
                    </w:txbxContent>
                  </v:textbox>
                </v:shape>
              </w:pict>
            </w:r>
            <w:r w:rsidR="006A334A">
              <w:rPr>
                <w:noProof/>
                <w:sz w:val="20"/>
                <w:szCs w:val="20"/>
                <w:lang w:eastAsia="tr-TR"/>
              </w:rPr>
              <w:pict>
                <v:shape id="_x0000_s1610" type="#_x0000_t202" style="position:absolute;margin-left:1.5pt;margin-top:44.85pt;width:407.3pt;height:21.3pt;z-index:252000256">
                  <v:textbox style="mso-next-textbox:#_x0000_s1610">
                    <w:txbxContent>
                      <w:p w:rsidR="006A334A" w:rsidRDefault="006A334A" w:rsidP="000D6376">
                        <w:pPr>
                          <w:tabs>
                            <w:tab w:val="left" w:pos="4861"/>
                          </w:tabs>
                          <w:rPr>
                            <w:rFonts w:cs="AdvMINION-B"/>
                            <w:sz w:val="20"/>
                            <w:szCs w:val="20"/>
                          </w:rPr>
                        </w:pPr>
                        <w:r w:rsidRPr="00DA071F">
                          <w:rPr>
                            <w:rFonts w:cs="AdvMINION-B"/>
                            <w:sz w:val="20"/>
                            <w:szCs w:val="20"/>
                          </w:rPr>
                          <w:t>Metilprednisolon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dvMINION-B"/>
                            <w:sz w:val="20"/>
                            <w:szCs w:val="20"/>
                          </w:rPr>
                          <w:t>her 5 günde bir 0.2 mg kg/gün dozuna azaltılarak 1 mg/kg/gün dozuna azaltılır.</w:t>
                        </w:r>
                      </w:p>
                      <w:p w:rsidR="006A334A" w:rsidRDefault="006A334A"/>
                    </w:txbxContent>
                  </v:textbox>
                </v:shape>
              </w:pict>
            </w:r>
            <w:r w:rsidR="006A334A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6A334A" w:rsidRPr="00E03B38">
              <w:rPr>
                <w:rFonts w:ascii="Arial Rounded MT Bold" w:hAnsi="Arial Rounded MT Bold"/>
                <w:b/>
                <w:sz w:val="36"/>
                <w:szCs w:val="20"/>
              </w:rPr>
              <w:t xml:space="preserve">  </w:t>
            </w:r>
            <w:r w:rsidR="006A334A" w:rsidRPr="00E03B38">
              <w:rPr>
                <w:rFonts w:ascii="Arial Rounded MT Bold" w:hAnsi="Arial Rounded MT Bold"/>
                <w:b/>
                <w:sz w:val="20"/>
                <w:szCs w:val="20"/>
              </w:rPr>
              <w:t xml:space="preserve">  </w:t>
            </w:r>
            <w:r w:rsidR="006A334A">
              <w:rPr>
                <w:rFonts w:ascii="Arial Rounded MT Bold" w:hAnsi="Arial Rounded MT Bold"/>
                <w:b/>
                <w:sz w:val="20"/>
                <w:szCs w:val="20"/>
              </w:rPr>
              <w:t xml:space="preserve"> </w:t>
            </w:r>
          </w:p>
        </w:tc>
      </w:tr>
      <w:tr w:rsidR="006A334A" w:rsidRPr="00DA071F" w:rsidTr="003C6CB3">
        <w:trPr>
          <w:cantSplit/>
          <w:trHeight w:val="1154"/>
        </w:trPr>
        <w:tc>
          <w:tcPr>
            <w:tcW w:w="354" w:type="dxa"/>
            <w:tcBorders>
              <w:top w:val="threeDEmboss" w:sz="6" w:space="0" w:color="auto"/>
              <w:bottom w:val="threeDEngrave" w:sz="18" w:space="0" w:color="auto"/>
            </w:tcBorders>
            <w:shd w:val="clear" w:color="auto" w:fill="A6A6A6" w:themeFill="background1" w:themeFillShade="A6"/>
            <w:textDirection w:val="btLr"/>
          </w:tcPr>
          <w:p w:rsidR="005838C7" w:rsidRPr="002232C9" w:rsidRDefault="00565C89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dvPSFT-B" w:hAnsi="AdvPSFT-B" w:cs="AdvPSFT-B"/>
                <w:b/>
              </w:rPr>
            </w:pPr>
            <w:r w:rsidRPr="002232C9">
              <w:rPr>
                <w:rFonts w:cs="AdvPSFT-B"/>
                <w:b/>
              </w:rPr>
              <w:t>3. Basamak</w:t>
            </w:r>
          </w:p>
          <w:p w:rsidR="006A334A" w:rsidRPr="00DA071F" w:rsidRDefault="006A334A" w:rsidP="003C6CB3">
            <w:pPr>
              <w:spacing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auto"/>
              <w:bottom w:val="threeDEngrave" w:sz="18" w:space="0" w:color="auto"/>
            </w:tcBorders>
            <w:shd w:val="clear" w:color="auto" w:fill="D9D9D9" w:themeFill="background1" w:themeFillShade="D9"/>
            <w:textDirection w:val="btLr"/>
          </w:tcPr>
          <w:p w:rsidR="006A334A" w:rsidRDefault="006A334A" w:rsidP="003C6CB3">
            <w:pPr>
              <w:spacing w:after="0" w:line="240" w:lineRule="auto"/>
              <w:ind w:left="113" w:right="113"/>
              <w:jc w:val="center"/>
              <w:rPr>
                <w:rFonts w:cs="AdvMINION-I"/>
                <w:b/>
              </w:rPr>
            </w:pPr>
          </w:p>
          <w:p w:rsidR="006A334A" w:rsidRPr="00DA071F" w:rsidRDefault="006A334A" w:rsidP="003C6CB3">
            <w:pPr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4"/>
            <w:tcBorders>
              <w:top w:val="threeDEmboss" w:sz="6" w:space="0" w:color="auto"/>
              <w:bottom w:val="threeDEngrave" w:sz="18" w:space="0" w:color="auto"/>
            </w:tcBorders>
          </w:tcPr>
          <w:p w:rsidR="006A334A" w:rsidRPr="00E03B38" w:rsidRDefault="00045972" w:rsidP="003C6CB3">
            <w:pPr>
              <w:spacing w:line="240" w:lineRule="auto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shape id="_x0000_s1671" type="#_x0000_t202" style="position:absolute;margin-left:260.7pt;margin-top:14.3pt;width:97.55pt;height:21.35pt;z-index:252013568;mso-position-horizontal-relative:text;mso-position-vertical-relative:text" strokeweight="1.75pt">
                  <v:stroke linestyle="thinThin"/>
                  <v:textbox style="mso-next-textbox:#_x0000_s1671">
                    <w:txbxContent>
                      <w:p w:rsidR="00045972" w:rsidRDefault="00045972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shape id="_x0000_s1672" type="#_x0000_t202" style="position:absolute;margin-left:383.85pt;margin-top:14.3pt;width:79.7pt;height:21.35pt;z-index:252014592;mso-position-horizontal-relative:text;mso-position-vertical-relative:text" strokeweight="1.75pt">
                  <v:stroke linestyle="thinThin"/>
                  <v:textbox style="mso-next-textbox:#_x0000_s1672">
                    <w:txbxContent>
                      <w:p w:rsidR="00045972" w:rsidRDefault="00045972"/>
                    </w:txbxContent>
                  </v:textbox>
                </v:shape>
              </w:pict>
            </w:r>
            <w:r w:rsidR="00884798">
              <w:rPr>
                <w:noProof/>
                <w:sz w:val="20"/>
                <w:szCs w:val="20"/>
                <w:lang w:eastAsia="tr-TR"/>
              </w:rPr>
              <w:pict>
                <v:shape id="_x0000_s1613" type="#_x0000_t202" style="position:absolute;margin-left:167.25pt;margin-top:14.3pt;width:79.7pt;height:21.35pt;z-index:252003328;mso-position-horizontal-relative:text;mso-position-vertical-relative:text" strokeweight="1.75pt">
                  <v:stroke linestyle="thinThin"/>
                  <v:textbox style="mso-next-textbox:#_x0000_s1613">
                    <w:txbxContent>
                      <w:p w:rsidR="006A334A" w:rsidRPr="00DA1284" w:rsidRDefault="006A334A" w:rsidP="00DA128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AdvMINION-I"/>
                            <w:sz w:val="20"/>
                            <w:szCs w:val="20"/>
                          </w:rPr>
                        </w:pPr>
                        <w:r w:rsidRPr="00DA1284">
                          <w:rPr>
                            <w:rFonts w:cs="AdvMINION-I"/>
                            <w:sz w:val="20"/>
                            <w:szCs w:val="20"/>
                          </w:rPr>
                          <w:t>Alemtuzumab</w:t>
                        </w:r>
                      </w:p>
                      <w:p w:rsidR="006A334A" w:rsidRDefault="006A334A"/>
                    </w:txbxContent>
                  </v:textbox>
                </v:shape>
              </w:pict>
            </w:r>
            <w:r w:rsidR="00884798">
              <w:rPr>
                <w:noProof/>
                <w:sz w:val="20"/>
                <w:szCs w:val="20"/>
                <w:lang w:eastAsia="tr-TR"/>
              </w:rPr>
              <w:pict>
                <v:shape id="_x0000_s1612" type="#_x0000_t202" style="position:absolute;margin-left:22.8pt;margin-top:14.3pt;width:110.05pt;height:21.35pt;z-index:252002304;mso-position-horizontal-relative:text;mso-position-vertical-relative:text" strokeweight="2pt">
                  <v:stroke linestyle="thinThin"/>
                  <v:textbox style="mso-next-textbox:#_x0000_s1612">
                    <w:txbxContent>
                      <w:p w:rsidR="006A334A" w:rsidRPr="00DA1284" w:rsidRDefault="006A334A" w:rsidP="00DA128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AdvMINION-I"/>
                            <w:sz w:val="20"/>
                            <w:szCs w:val="20"/>
                          </w:rPr>
                        </w:pPr>
                        <w:r w:rsidRPr="00DA1284">
                          <w:rPr>
                            <w:rFonts w:cs="AdvMINION-I"/>
                            <w:sz w:val="20"/>
                            <w:szCs w:val="20"/>
                          </w:rPr>
                          <w:t>M</w:t>
                        </w:r>
                        <w:r w:rsidR="00884798">
                          <w:rPr>
                            <w:rFonts w:cs="AdvMINION-I"/>
                            <w:sz w:val="20"/>
                            <w:szCs w:val="20"/>
                          </w:rPr>
                          <w:t>ezank</w:t>
                        </w:r>
                        <w:r w:rsidR="00565C89">
                          <w:rPr>
                            <w:rFonts w:cs="AdvMINION-I"/>
                            <w:sz w:val="20"/>
                            <w:szCs w:val="20"/>
                          </w:rPr>
                          <w:t>imal</w:t>
                        </w:r>
                        <w:r w:rsidRPr="00DA1284">
                          <w:rPr>
                            <w:rFonts w:cs="AdvMINION-I"/>
                            <w:sz w:val="20"/>
                            <w:szCs w:val="20"/>
                          </w:rPr>
                          <w:t xml:space="preserve"> </w:t>
                        </w:r>
                        <w:r w:rsidR="00565C89">
                          <w:rPr>
                            <w:rFonts w:cs="AdvMINION-I"/>
                            <w:sz w:val="20"/>
                            <w:szCs w:val="20"/>
                          </w:rPr>
                          <w:t>kök hücre</w:t>
                        </w:r>
                      </w:p>
                      <w:p w:rsidR="006A334A" w:rsidRDefault="006A334A"/>
                    </w:txbxContent>
                  </v:textbox>
                </v:shape>
              </w:pict>
            </w:r>
          </w:p>
        </w:tc>
      </w:tr>
      <w:tr w:rsidR="00186313" w:rsidRPr="00DA071F" w:rsidTr="003C6CB3">
        <w:trPr>
          <w:trHeight w:val="205"/>
        </w:trPr>
        <w:tc>
          <w:tcPr>
            <w:tcW w:w="1346" w:type="dxa"/>
            <w:gridSpan w:val="3"/>
            <w:tcBorders>
              <w:top w:val="threeDEngrave" w:sz="18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86313" w:rsidRPr="00045972" w:rsidRDefault="00186313" w:rsidP="003C6C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45972">
              <w:rPr>
                <w:rFonts w:cs="Arial"/>
                <w:b/>
                <w:bCs/>
                <w:sz w:val="24"/>
                <w:szCs w:val="24"/>
              </w:rPr>
              <w:t xml:space="preserve">     Organ</w:t>
            </w:r>
          </w:p>
        </w:tc>
        <w:tc>
          <w:tcPr>
            <w:tcW w:w="1134" w:type="dxa"/>
            <w:tcBorders>
              <w:top w:val="wav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86313" w:rsidRPr="00045972" w:rsidRDefault="00186313" w:rsidP="003C6CB3">
            <w:pPr>
              <w:spacing w:line="240" w:lineRule="auto"/>
              <w:rPr>
                <w:b/>
                <w:sz w:val="24"/>
                <w:szCs w:val="24"/>
              </w:rPr>
            </w:pPr>
            <w:r w:rsidRPr="00045972">
              <w:rPr>
                <w:b/>
                <w:sz w:val="24"/>
                <w:szCs w:val="24"/>
              </w:rPr>
              <w:t>Derece</w:t>
            </w:r>
          </w:p>
        </w:tc>
        <w:tc>
          <w:tcPr>
            <w:tcW w:w="8224" w:type="dxa"/>
            <w:gridSpan w:val="2"/>
            <w:tcBorders>
              <w:top w:val="wave" w:sz="6" w:space="0" w:color="auto"/>
              <w:left w:val="single" w:sz="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86313" w:rsidRPr="00045972" w:rsidRDefault="00186313" w:rsidP="003C6C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45972">
              <w:rPr>
                <w:b/>
                <w:sz w:val="24"/>
                <w:szCs w:val="24"/>
              </w:rPr>
              <w:t xml:space="preserve">Tanım </w:t>
            </w:r>
          </w:p>
        </w:tc>
      </w:tr>
      <w:tr w:rsidR="00186313" w:rsidRPr="00DA071F" w:rsidTr="003C6CB3">
        <w:trPr>
          <w:trHeight w:val="138"/>
        </w:trPr>
        <w:tc>
          <w:tcPr>
            <w:tcW w:w="1346" w:type="dxa"/>
            <w:gridSpan w:val="3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6313">
              <w:rPr>
                <w:b/>
                <w:szCs w:val="20"/>
              </w:rPr>
              <w:t>Deri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22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Maculopapular rash over &lt;25 percent of body area</w:t>
            </w:r>
          </w:p>
        </w:tc>
      </w:tr>
      <w:tr w:rsidR="00186313" w:rsidRPr="00DA071F" w:rsidTr="003C6CB3">
        <w:trPr>
          <w:trHeight w:val="94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Maculopapular rash over 25 to 50 percent of body area</w:t>
            </w:r>
          </w:p>
        </w:tc>
      </w:tr>
      <w:tr w:rsidR="00186313" w:rsidRPr="00DA071F" w:rsidTr="003C6CB3">
        <w:trPr>
          <w:trHeight w:val="83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Generalized erythroderma</w:t>
            </w:r>
          </w:p>
        </w:tc>
      </w:tr>
      <w:tr w:rsidR="00186313" w:rsidRPr="00DA071F" w:rsidTr="003C6CB3">
        <w:trPr>
          <w:trHeight w:val="138"/>
        </w:trPr>
        <w:tc>
          <w:tcPr>
            <w:tcW w:w="1346" w:type="dxa"/>
            <w:gridSpan w:val="3"/>
            <w:vMerge/>
            <w:tcBorders>
              <w:bottom w:val="double" w:sz="4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Generalized erythroderma with bullous formation and often with desquamation</w:t>
            </w:r>
          </w:p>
        </w:tc>
      </w:tr>
      <w:tr w:rsidR="00186313" w:rsidRPr="00DA071F" w:rsidTr="003C6CB3">
        <w:trPr>
          <w:trHeight w:val="106"/>
        </w:trPr>
        <w:tc>
          <w:tcPr>
            <w:tcW w:w="1346" w:type="dxa"/>
            <w:gridSpan w:val="3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6313">
              <w:rPr>
                <w:b/>
                <w:sz w:val="20"/>
                <w:szCs w:val="20"/>
              </w:rPr>
              <w:t>Karaciğer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22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Bilirubin 2.0 to 3.0 mg/dL; SGOT 150 to 750 IU</w:t>
            </w:r>
          </w:p>
        </w:tc>
      </w:tr>
      <w:tr w:rsidR="00186313" w:rsidRPr="00DA071F" w:rsidTr="003C6CB3">
        <w:trPr>
          <w:trHeight w:val="161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Bilirubin 3.1 to 6.0 mg/dL</w:t>
            </w:r>
          </w:p>
        </w:tc>
      </w:tr>
      <w:tr w:rsidR="00186313" w:rsidRPr="00DA071F" w:rsidTr="003C6CB3">
        <w:trPr>
          <w:trHeight w:val="138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Bilirubin 6.1 to 15.0 mg/dL</w:t>
            </w:r>
          </w:p>
        </w:tc>
      </w:tr>
      <w:tr w:rsidR="00186313" w:rsidRPr="00DA071F" w:rsidTr="003C6CB3">
        <w:trPr>
          <w:trHeight w:val="127"/>
        </w:trPr>
        <w:tc>
          <w:tcPr>
            <w:tcW w:w="1346" w:type="dxa"/>
            <w:gridSpan w:val="3"/>
            <w:vMerge/>
            <w:tcBorders>
              <w:bottom w:val="double" w:sz="4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Bilirubin &gt;15.0 mg/dL</w:t>
            </w:r>
          </w:p>
        </w:tc>
      </w:tr>
      <w:tr w:rsidR="00186313" w:rsidRPr="00DA071F" w:rsidTr="003C6CB3">
        <w:trPr>
          <w:trHeight w:val="117"/>
        </w:trPr>
        <w:tc>
          <w:tcPr>
            <w:tcW w:w="1346" w:type="dxa"/>
            <w:gridSpan w:val="3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</w:p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186313">
              <w:rPr>
                <w:b/>
                <w:szCs w:val="20"/>
              </w:rPr>
              <w:t>GİS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22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Diarrhea &gt;30 mL/kg or &gt;500 mL/day</w:t>
            </w:r>
          </w:p>
        </w:tc>
      </w:tr>
      <w:tr w:rsidR="00186313" w:rsidRPr="00DA071F" w:rsidTr="003C6CB3">
        <w:trPr>
          <w:trHeight w:val="127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86313" w:rsidRPr="00DA071F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186313" w:rsidRPr="00186313" w:rsidRDefault="0018631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Diarrhea &gt;60 mL/kg or &gt;1000 mL/day</w:t>
            </w:r>
          </w:p>
        </w:tc>
      </w:tr>
      <w:tr w:rsidR="003C6CB3" w:rsidRPr="00DA071F" w:rsidTr="00540DA6">
        <w:trPr>
          <w:trHeight w:val="138"/>
        </w:trPr>
        <w:tc>
          <w:tcPr>
            <w:tcW w:w="1346" w:type="dxa"/>
            <w:gridSpan w:val="3"/>
            <w:vMerge/>
            <w:tcBorders>
              <w:right w:val="single" w:sz="2" w:space="0" w:color="auto"/>
            </w:tcBorders>
          </w:tcPr>
          <w:p w:rsidR="003C6CB3" w:rsidRPr="00DA071F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6CB3" w:rsidRPr="00DA071F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8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6CB3" w:rsidRPr="00186313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Diarrhea &gt;90 mL/kg or &gt;1500 mL/day</w:t>
            </w:r>
          </w:p>
        </w:tc>
      </w:tr>
      <w:tr w:rsidR="003C6CB3" w:rsidRPr="00DA071F" w:rsidTr="003C6CB3">
        <w:trPr>
          <w:trHeight w:val="117"/>
        </w:trPr>
        <w:tc>
          <w:tcPr>
            <w:tcW w:w="1346" w:type="dxa"/>
            <w:gridSpan w:val="3"/>
            <w:vMerge/>
            <w:tcBorders>
              <w:bottom w:val="double" w:sz="4" w:space="0" w:color="auto"/>
              <w:right w:val="single" w:sz="2" w:space="0" w:color="auto"/>
            </w:tcBorders>
          </w:tcPr>
          <w:p w:rsidR="003C6CB3" w:rsidRPr="00DA071F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C6CB3" w:rsidRPr="00DA071F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C6CB3" w:rsidRPr="00186313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  <w:r w:rsidRPr="00186313">
              <w:rPr>
                <w:rFonts w:cs="Arial"/>
                <w:sz w:val="18"/>
                <w:szCs w:val="14"/>
              </w:rPr>
              <w:t>Diarrhea &gt;90 mL/kg or &gt;2000 mL/day; or severe abdominal pain with or without ileus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3C6CB3" w:rsidRPr="003C6CB3" w:rsidRDefault="003C6CB3" w:rsidP="003C6CB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20"/>
              </w:rPr>
            </w:pPr>
            <w:r w:rsidRPr="003C6CB3">
              <w:rPr>
                <w:i/>
                <w:sz w:val="16"/>
                <w:szCs w:val="20"/>
              </w:rPr>
              <w:t>QQ</w:t>
            </w:r>
          </w:p>
        </w:tc>
      </w:tr>
    </w:tbl>
    <w:tbl>
      <w:tblPr>
        <w:tblpPr w:leftFromText="141" w:rightFromText="141" w:vertAnchor="text" w:tblpX="-10" w:tblpY="9252"/>
        <w:tblW w:w="210" w:type="dxa"/>
        <w:tblCellMar>
          <w:left w:w="70" w:type="dxa"/>
          <w:right w:w="70" w:type="dxa"/>
        </w:tblCellMar>
        <w:tblLook w:val="0000"/>
      </w:tblPr>
      <w:tblGrid>
        <w:gridCol w:w="210"/>
      </w:tblGrid>
      <w:tr w:rsidR="00BA0C7D" w:rsidTr="00675886">
        <w:trPr>
          <w:trHeight w:val="23"/>
        </w:trPr>
        <w:tc>
          <w:tcPr>
            <w:tcW w:w="210" w:type="dxa"/>
          </w:tcPr>
          <w:p w:rsidR="00BA0C7D" w:rsidRDefault="00BA0C7D" w:rsidP="00BA0C7D">
            <w:pPr>
              <w:spacing w:after="0"/>
            </w:pPr>
          </w:p>
        </w:tc>
      </w:tr>
      <w:tr w:rsidR="00BA0C7D" w:rsidTr="00BA0C7D">
        <w:trPr>
          <w:trHeight w:val="12"/>
        </w:trPr>
        <w:tc>
          <w:tcPr>
            <w:tcW w:w="210" w:type="dxa"/>
          </w:tcPr>
          <w:p w:rsidR="00BA0C7D" w:rsidRDefault="00BA0C7D" w:rsidP="00BA0C7D">
            <w:pPr>
              <w:spacing w:after="0"/>
            </w:pPr>
          </w:p>
        </w:tc>
      </w:tr>
    </w:tbl>
    <w:p w:rsidR="000204FB" w:rsidRPr="003C6CB3" w:rsidRDefault="00675886" w:rsidP="00627A2B">
      <w:pPr>
        <w:spacing w:after="0"/>
        <w:rPr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1707337" cy="496255"/>
            <wp:effectExtent l="19050" t="0" r="7163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11" cy="49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5C42">
        <w:t xml:space="preserve">        </w:t>
      </w:r>
      <w:r w:rsidR="003C6CB3">
        <w:t xml:space="preserve">  </w:t>
      </w:r>
      <w:r w:rsidR="00705C42" w:rsidRPr="003C6CB3">
        <w:rPr>
          <w:sz w:val="24"/>
          <w:szCs w:val="24"/>
        </w:rPr>
        <w:t xml:space="preserve">Akut graft Versus hastalığı </w:t>
      </w:r>
      <w:r w:rsidR="000A7DD7" w:rsidRPr="003C6CB3">
        <w:rPr>
          <w:sz w:val="24"/>
          <w:szCs w:val="24"/>
        </w:rPr>
        <w:t xml:space="preserve">Tanı, </w:t>
      </w:r>
      <w:r w:rsidR="00705C42" w:rsidRPr="003C6CB3">
        <w:rPr>
          <w:sz w:val="24"/>
          <w:szCs w:val="24"/>
        </w:rPr>
        <w:t xml:space="preserve">Tedavi </w:t>
      </w:r>
      <w:r w:rsidR="000A7DD7" w:rsidRPr="003C6CB3">
        <w:rPr>
          <w:sz w:val="24"/>
          <w:szCs w:val="24"/>
        </w:rPr>
        <w:t xml:space="preserve"> ve </w:t>
      </w:r>
      <w:r w:rsidR="00705C42" w:rsidRPr="003C6CB3">
        <w:rPr>
          <w:sz w:val="24"/>
          <w:szCs w:val="24"/>
        </w:rPr>
        <w:t xml:space="preserve">Takip formu </w:t>
      </w:r>
    </w:p>
    <w:sectPr w:rsidR="000204FB" w:rsidRPr="003C6CB3" w:rsidSect="00705C4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dvMINION-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vPSFT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MINION-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05C42"/>
    <w:rsid w:val="000204FB"/>
    <w:rsid w:val="00045972"/>
    <w:rsid w:val="00051636"/>
    <w:rsid w:val="00057002"/>
    <w:rsid w:val="00076998"/>
    <w:rsid w:val="000A7DD7"/>
    <w:rsid w:val="000D1A08"/>
    <w:rsid w:val="000D6376"/>
    <w:rsid w:val="000E0677"/>
    <w:rsid w:val="001448A9"/>
    <w:rsid w:val="00150679"/>
    <w:rsid w:val="00162518"/>
    <w:rsid w:val="0018485F"/>
    <w:rsid w:val="00186313"/>
    <w:rsid w:val="001D2BB0"/>
    <w:rsid w:val="001E105B"/>
    <w:rsid w:val="001E5FD3"/>
    <w:rsid w:val="00210940"/>
    <w:rsid w:val="002133E0"/>
    <w:rsid w:val="002232C9"/>
    <w:rsid w:val="00260A4C"/>
    <w:rsid w:val="002B6D98"/>
    <w:rsid w:val="002D34E5"/>
    <w:rsid w:val="003B291D"/>
    <w:rsid w:val="003C6CB3"/>
    <w:rsid w:val="00456164"/>
    <w:rsid w:val="004B6FB0"/>
    <w:rsid w:val="005004F6"/>
    <w:rsid w:val="0054255F"/>
    <w:rsid w:val="005513D6"/>
    <w:rsid w:val="00565C89"/>
    <w:rsid w:val="005838C7"/>
    <w:rsid w:val="00627A2B"/>
    <w:rsid w:val="006430D1"/>
    <w:rsid w:val="00653E3A"/>
    <w:rsid w:val="0065581B"/>
    <w:rsid w:val="0065759E"/>
    <w:rsid w:val="00662E81"/>
    <w:rsid w:val="00675886"/>
    <w:rsid w:val="006A334A"/>
    <w:rsid w:val="00705C42"/>
    <w:rsid w:val="00713AF4"/>
    <w:rsid w:val="00730756"/>
    <w:rsid w:val="00730874"/>
    <w:rsid w:val="007654A9"/>
    <w:rsid w:val="0077022E"/>
    <w:rsid w:val="00843B58"/>
    <w:rsid w:val="00856A67"/>
    <w:rsid w:val="00870953"/>
    <w:rsid w:val="00884798"/>
    <w:rsid w:val="008B6901"/>
    <w:rsid w:val="008E3625"/>
    <w:rsid w:val="00935F4C"/>
    <w:rsid w:val="00945A73"/>
    <w:rsid w:val="009658B7"/>
    <w:rsid w:val="009C50A6"/>
    <w:rsid w:val="009D6610"/>
    <w:rsid w:val="009F6499"/>
    <w:rsid w:val="00A25587"/>
    <w:rsid w:val="00A60CD6"/>
    <w:rsid w:val="00A96202"/>
    <w:rsid w:val="00AC7A7A"/>
    <w:rsid w:val="00AF7670"/>
    <w:rsid w:val="00B051B9"/>
    <w:rsid w:val="00B70AA0"/>
    <w:rsid w:val="00B74571"/>
    <w:rsid w:val="00B82EFE"/>
    <w:rsid w:val="00B9760F"/>
    <w:rsid w:val="00BA0C7D"/>
    <w:rsid w:val="00BE2569"/>
    <w:rsid w:val="00BF0152"/>
    <w:rsid w:val="00C75B2A"/>
    <w:rsid w:val="00D120F5"/>
    <w:rsid w:val="00D34C2F"/>
    <w:rsid w:val="00D36C18"/>
    <w:rsid w:val="00D63A80"/>
    <w:rsid w:val="00D77CA0"/>
    <w:rsid w:val="00DA071F"/>
    <w:rsid w:val="00DA1284"/>
    <w:rsid w:val="00E03B38"/>
    <w:rsid w:val="00E82A52"/>
    <w:rsid w:val="00E96B8D"/>
    <w:rsid w:val="00EC0F80"/>
    <w:rsid w:val="00F503EA"/>
    <w:rsid w:val="00F90C81"/>
    <w:rsid w:val="00FC1A7D"/>
    <w:rsid w:val="00FD7932"/>
    <w:rsid w:val="00F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ebed5"/>
      <o:colormenu v:ext="edit" fillcolor="red" strokecolor="none"/>
    </o:shapedefaults>
    <o:shapelayout v:ext="edit">
      <o:idmap v:ext="edit" data="1"/>
      <o:rules v:ext="edit">
        <o:r id="V:Rule14" type="connector" idref="#_x0000_s1560"/>
        <o:r id="V:Rule15" type="connector" idref="#_x0000_s1567"/>
        <o:r id="V:Rule16" type="connector" idref="#_x0000_s1588"/>
        <o:r id="V:Rule17" type="connector" idref="#_x0000_s1564"/>
        <o:r id="V:Rule18" type="connector" idref="#_x0000_s1559"/>
        <o:r id="V:Rule19" type="connector" idref="#_x0000_s1561"/>
        <o:r id="V:Rule21" type="connector" idref="#_x0000_s1587"/>
        <o:r id="V:Rule22" type="connector" idref="#_x0000_s1558"/>
        <o:r id="V:Rule23" type="connector" idref="#_x0000_s1571"/>
        <o:r id="V:Rule24" type="connector" idref="#_x0000_s1557"/>
        <o:r id="V:Rule25" type="connector" idref="#_x0000_s1556"/>
        <o:r id="V:Rule26" type="connector" idref="#_x0000_s1568"/>
        <o:r id="V:Rule35" type="connector" idref="#_x0000_s1609"/>
        <o:r id="V:Rule36" type="connector" idref="#_x0000_s1615"/>
        <o:r id="V:Rule37" type="connector" idref="#_x0000_s1616"/>
        <o:r id="V:Rule38" type="connector" idref="#_x0000_s1617"/>
        <o:r id="V:Rule39" type="connector" idref="#_x0000_s1618"/>
        <o:r id="V:Rule64" type="connector" idref="#_x0000_s1667"/>
        <o:r id="V:Rule65" type="connector" idref="#_x0000_s16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42</cp:revision>
  <cp:lastPrinted>2013-05-13T13:12:00Z</cp:lastPrinted>
  <dcterms:created xsi:type="dcterms:W3CDTF">2013-04-05T07:20:00Z</dcterms:created>
  <dcterms:modified xsi:type="dcterms:W3CDTF">2013-05-13T13:13:00Z</dcterms:modified>
</cp:coreProperties>
</file>